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E" w:rsidRDefault="00F87CAE">
      <w:pPr>
        <w:spacing w:line="360" w:lineRule="auto"/>
        <w:ind w:firstLine="709"/>
        <w:jc w:val="center"/>
        <w:rPr>
          <w:b/>
        </w:rPr>
      </w:pPr>
      <w:r>
        <w:rPr>
          <w:b/>
        </w:rPr>
        <w:t>Сведения о результатах по направлениям исследований в рамках Программы фундаментальных научных исследований государственных ак</w:t>
      </w:r>
      <w:r w:rsidR="002E1E59">
        <w:rPr>
          <w:b/>
        </w:rPr>
        <w:t>адемий наук на 2013-2020 годы, Российской академии художеств</w:t>
      </w:r>
      <w:r>
        <w:rPr>
          <w:b/>
        </w:rPr>
        <w:t xml:space="preserve"> в 2015 году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5"/>
        <w:gridCol w:w="10908"/>
      </w:tblGrid>
      <w:tr w:rsidR="00E926AE" w:rsidTr="009264E1">
        <w:tc>
          <w:tcPr>
            <w:tcW w:w="3625" w:type="dxa"/>
          </w:tcPr>
          <w:p w:rsidR="00E926AE" w:rsidRDefault="00F87CAE">
            <w:pPr>
              <w:jc w:val="center"/>
            </w:pPr>
            <w:r>
              <w:t xml:space="preserve">Номер и наименование направления фундаментальных исследований </w:t>
            </w:r>
          </w:p>
          <w:p w:rsidR="00E926AE" w:rsidRDefault="00F87CAE">
            <w:pPr>
              <w:spacing w:line="360" w:lineRule="auto"/>
              <w:jc w:val="both"/>
            </w:pPr>
            <w:r>
              <w:t>(по программе)</w:t>
            </w:r>
          </w:p>
        </w:tc>
        <w:tc>
          <w:tcPr>
            <w:tcW w:w="10908" w:type="dxa"/>
          </w:tcPr>
          <w:p w:rsidR="00E926AE" w:rsidRDefault="00E926AE">
            <w:pPr>
              <w:spacing w:line="360" w:lineRule="auto"/>
              <w:jc w:val="center"/>
            </w:pPr>
          </w:p>
          <w:p w:rsidR="00E926AE" w:rsidRDefault="00F87CAE">
            <w:pPr>
              <w:jc w:val="center"/>
            </w:pPr>
            <w:r>
              <w:t>Полученные результаты</w:t>
            </w:r>
          </w:p>
          <w:p w:rsidR="00E926AE" w:rsidRDefault="00F87CAE">
            <w:pPr>
              <w:jc w:val="center"/>
            </w:pPr>
            <w:r>
              <w:t>(в привязке к ожидаемым результатам по Программе)</w:t>
            </w:r>
          </w:p>
          <w:p w:rsidR="00E926AE" w:rsidRDefault="00E926AE">
            <w:pPr>
              <w:spacing w:line="360" w:lineRule="auto"/>
              <w:jc w:val="both"/>
            </w:pPr>
          </w:p>
        </w:tc>
      </w:tr>
      <w:tr w:rsidR="00E926AE" w:rsidRPr="00E30E11" w:rsidTr="009264E1">
        <w:tc>
          <w:tcPr>
            <w:tcW w:w="3625" w:type="dxa"/>
          </w:tcPr>
          <w:p w:rsidR="00E926AE" w:rsidRPr="00E30E11" w:rsidRDefault="00E30E11">
            <w:pPr>
              <w:jc w:val="center"/>
            </w:pPr>
            <w:r w:rsidRPr="00E30E11">
              <w:t>1</w:t>
            </w:r>
          </w:p>
        </w:tc>
        <w:tc>
          <w:tcPr>
            <w:tcW w:w="10908" w:type="dxa"/>
          </w:tcPr>
          <w:p w:rsidR="00E926AE" w:rsidRPr="00E30E11" w:rsidRDefault="00E30E11">
            <w:pPr>
              <w:spacing w:line="360" w:lineRule="auto"/>
              <w:jc w:val="center"/>
            </w:pPr>
            <w:r w:rsidRPr="00E30E11">
              <w:t>2</w:t>
            </w:r>
          </w:p>
        </w:tc>
      </w:tr>
      <w:tr w:rsidR="00E926AE" w:rsidTr="009264E1">
        <w:tc>
          <w:tcPr>
            <w:tcW w:w="3625" w:type="dxa"/>
          </w:tcPr>
          <w:p w:rsidR="00E926AE" w:rsidRPr="00E30E11" w:rsidRDefault="00E30E11" w:rsidP="00E30E11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E30E11">
              <w:rPr>
                <w:b/>
              </w:rPr>
              <w:t>Методология и теория исторического процесса развития изобразительного искусства и архитектуры</w:t>
            </w:r>
          </w:p>
          <w:p w:rsidR="00E926AE" w:rsidRDefault="00E926AE">
            <w:pPr>
              <w:spacing w:line="360" w:lineRule="auto"/>
              <w:jc w:val="both"/>
            </w:pPr>
          </w:p>
        </w:tc>
        <w:tc>
          <w:tcPr>
            <w:tcW w:w="10908" w:type="dxa"/>
          </w:tcPr>
          <w:p w:rsidR="00E926AE" w:rsidRDefault="00E926AE">
            <w:pPr>
              <w:ind w:firstLine="709"/>
              <w:rPr>
                <w:color w:val="000000"/>
              </w:rPr>
            </w:pP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Русское искусство Нового времени. Исследования и материалы.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Сборник статей. </w:t>
            </w:r>
            <w:proofErr w:type="spellStart"/>
            <w:r>
              <w:rPr>
                <w:sz w:val="28"/>
              </w:rPr>
              <w:t>Вып</w:t>
            </w:r>
            <w:proofErr w:type="spellEnd"/>
            <w:r>
              <w:rPr>
                <w:sz w:val="28"/>
              </w:rPr>
              <w:t>. 16. По итогам научной конференции «Русское искусство Нового времени: открытия и интерпретации» / М.: Памятники исторической мысли, 2015. – 269 с., ил. Составитель, действительный член Российской академии художеств, руководитель отдела русского искусства Нового времени НИИ РАХ И.В. Рязанцев.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Сборник научных статей подготовлен по материалам докладов на научной конференции «Русское искусство Нового времени: открытия и интерпретации» в НИИ РАХ в 2013 году. В него также вошли наиболее значимые исследовательские работы сотрудников отдела и членов Отделения искусствознания РАХ. Благодаря данному научному труду,  в научный оборот вводятся новые данные и новые интерпретации достаточно известного материала, изучение которого в предшествующую эпоху было искажено идеологическими рамками. Существенный объем занимают работы монографического характера, в которых изучаются биографии художников, а также выявляется и уточняется круг их произведений. Освещаются вопросы интернациональных контактов и встреч, оказавших влияние не только на судьбу конкретного мастера, но и шире – на развитие отечественного и зарубежного искусства. Затрагивается проблематика, связанная с взаимоотношением слова и изображения. 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lastRenderedPageBreak/>
              <w:t>Также важно отметить монографию:</w:t>
            </w:r>
            <w:r w:rsidR="00E30E11">
              <w:rPr>
                <w:rFonts w:ascii="Sylfaen" w:hAnsi="Sylfaen"/>
                <w:sz w:val="28"/>
              </w:rPr>
              <w:t xml:space="preserve"> </w:t>
            </w:r>
            <w:r>
              <w:rPr>
                <w:rFonts w:ascii="Sylfaen" w:hAnsi="Sylfaen"/>
                <w:sz w:val="28"/>
              </w:rPr>
              <w:t>«Авторская игрушка в культуре России XX века».</w:t>
            </w:r>
            <w:r>
              <w:rPr>
                <w:rFonts w:ascii="Sylfaen" w:hAnsi="Sylfaen"/>
                <w:b/>
                <w:sz w:val="28"/>
              </w:rPr>
              <w:t xml:space="preserve"> </w:t>
            </w:r>
            <w:r>
              <w:rPr>
                <w:rFonts w:ascii="Sylfaen" w:hAnsi="Sylfaen"/>
                <w:sz w:val="28"/>
              </w:rPr>
              <w:t>М.: Арт-фактор, 2015. 248 с., ил. Автором  является член-корреспондент Российской академии художеств, научный сотрудник НИИ РАХ</w:t>
            </w:r>
            <w:r>
              <w:rPr>
                <w:rFonts w:ascii="Sylfaen" w:hAnsi="Sylfaen"/>
                <w:b/>
                <w:sz w:val="28"/>
              </w:rPr>
              <w:t xml:space="preserve"> </w:t>
            </w:r>
            <w:r>
              <w:rPr>
                <w:rFonts w:ascii="Sylfaen" w:hAnsi="Sylfaen"/>
                <w:sz w:val="28"/>
              </w:rPr>
              <w:t>А.У. Греков.</w:t>
            </w:r>
            <w:r>
              <w:rPr>
                <w:rFonts w:ascii="Sylfaen" w:hAnsi="Sylfaen"/>
                <w:b/>
                <w:sz w:val="28"/>
              </w:rPr>
              <w:t xml:space="preserve"> </w:t>
            </w:r>
            <w:r>
              <w:rPr>
                <w:rFonts w:ascii="Sylfaen" w:hAnsi="Sylfaen"/>
                <w:sz w:val="28"/>
              </w:rPr>
              <w:t>Монография посвящена истории советской и российской авторской игрушки, которая рассматривается в зеркале отечественной культуры XX столетия. В книгу включен богатейший предметный и архивный материал, впервые введенный в научный оборот, делается попытка обобщить имеющиеся на сегодняшний день сведения о художниках-игрушечниках, представив обширный словарь персоналий. В книгу также вошел словарь предприятий игрушечной промышленности. Издание предназначено для студентов высших художественных учебных заведений и учащихся художественных колледжей, училищ и художественных школ, а также для широкого круга любителей декоративно-прикладного и народного искусства.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 xml:space="preserve">«Итальянский сборник. </w:t>
            </w:r>
            <w:proofErr w:type="spellStart"/>
            <w:r>
              <w:rPr>
                <w:rFonts w:ascii="Sylfaen" w:hAnsi="Sylfaen"/>
                <w:sz w:val="28"/>
              </w:rPr>
              <w:t>Quaderni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italiani</w:t>
            </w:r>
            <w:proofErr w:type="spellEnd"/>
            <w:r>
              <w:rPr>
                <w:rFonts w:ascii="Sylfaen" w:hAnsi="Sylfaen"/>
                <w:sz w:val="28"/>
              </w:rPr>
              <w:t>»</w:t>
            </w:r>
            <w:r>
              <w:rPr>
                <w:rFonts w:ascii="Sylfaen" w:hAnsi="Sylfaen"/>
                <w:b/>
                <w:sz w:val="28"/>
              </w:rPr>
              <w:t xml:space="preserve"> </w:t>
            </w:r>
            <w:r>
              <w:rPr>
                <w:rFonts w:ascii="Sylfaen" w:hAnsi="Sylfaen"/>
                <w:sz w:val="28"/>
              </w:rPr>
              <w:t xml:space="preserve">Выпуск 7. </w:t>
            </w:r>
            <w:proofErr w:type="spellStart"/>
            <w:r>
              <w:rPr>
                <w:rFonts w:ascii="Sylfaen" w:hAnsi="Sylfaen"/>
                <w:sz w:val="28"/>
              </w:rPr>
              <w:t>Fascicolo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settimo</w:t>
            </w:r>
            <w:proofErr w:type="spellEnd"/>
            <w:r>
              <w:rPr>
                <w:rFonts w:ascii="Sylfaen" w:hAnsi="Sylfaen"/>
                <w:sz w:val="28"/>
              </w:rPr>
              <w:t xml:space="preserve">. Посвящается Джорджо Вазари. Отв. ред. Е.Д. Федотова. М.: Памятники исторической мысли, 2015. 214 с. Ответственный редактор – член-корреспондент РАХ, начальник отдела </w:t>
            </w:r>
            <w:proofErr w:type="gramStart"/>
            <w:r>
              <w:rPr>
                <w:rFonts w:ascii="Sylfaen" w:hAnsi="Sylfaen"/>
                <w:sz w:val="28"/>
              </w:rPr>
              <w:t>западно-европейского</w:t>
            </w:r>
            <w:proofErr w:type="gramEnd"/>
            <w:r>
              <w:rPr>
                <w:rFonts w:ascii="Sylfaen" w:hAnsi="Sylfaen"/>
                <w:sz w:val="28"/>
              </w:rPr>
              <w:t xml:space="preserve"> искусства Е.Д.</w:t>
            </w:r>
            <w:r w:rsidR="00E30E11">
              <w:rPr>
                <w:rFonts w:ascii="Sylfaen" w:hAnsi="Sylfaen"/>
                <w:sz w:val="28"/>
              </w:rPr>
              <w:t xml:space="preserve"> </w:t>
            </w:r>
            <w:r>
              <w:rPr>
                <w:rFonts w:ascii="Sylfaen" w:hAnsi="Sylfaen"/>
                <w:sz w:val="28"/>
              </w:rPr>
              <w:t xml:space="preserve">Федотова. 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Седьмой выпуск «Итальянского сборника», проекта, посвященного итальянскому искусству и его роли в формировании мировой и отечественной художественной культуры. Коллективная монография посвящена 500-летию со дня рождения Джорджо Вазари. В него частично включены материалы выступлений на двух конференциях 2011 года, организованных Российской академией художеств: «К 500-летию со дня рождения Джорджо Вазари» и «Россия – Италия – Испания: художественные связи». В сборнике представлены статьи о различных аспектах теории и истории итальянского искусства с VII по XIX век.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 xml:space="preserve">Актуальным исследовательским  направлением является фундаментальное исследование проблем развития мировой культуры. Серьезным шагом с точки зрения </w:t>
            </w:r>
            <w:r>
              <w:rPr>
                <w:rFonts w:ascii="Sylfaen" w:hAnsi="Sylfaen"/>
                <w:sz w:val="28"/>
              </w:rPr>
              <w:lastRenderedPageBreak/>
              <w:t>фундаментальной науки является подготовка сборника научных статей: «О классике и классическом».</w:t>
            </w:r>
            <w:r>
              <w:rPr>
                <w:rFonts w:ascii="Sylfaen" w:hAnsi="Sylfaen"/>
                <w:b/>
                <w:sz w:val="28"/>
              </w:rPr>
              <w:t xml:space="preserve"> </w:t>
            </w:r>
            <w:r>
              <w:rPr>
                <w:rFonts w:ascii="Sylfaen" w:hAnsi="Sylfaen"/>
                <w:sz w:val="28"/>
              </w:rPr>
              <w:t xml:space="preserve">Сб. статей / М.: Памятники исторической мысли, 2015. 432 с., ил. 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 xml:space="preserve">Ответственный редактор – член-корреспондент РАХ, начальник отдела </w:t>
            </w:r>
            <w:proofErr w:type="gramStart"/>
            <w:r>
              <w:rPr>
                <w:rFonts w:ascii="Sylfaen" w:hAnsi="Sylfaen"/>
                <w:sz w:val="28"/>
              </w:rPr>
              <w:t>западно-европейского</w:t>
            </w:r>
            <w:proofErr w:type="gramEnd"/>
            <w:r>
              <w:rPr>
                <w:rFonts w:ascii="Sylfaen" w:hAnsi="Sylfaen"/>
                <w:sz w:val="28"/>
              </w:rPr>
              <w:t xml:space="preserve"> искусства Е.Д.</w:t>
            </w:r>
            <w:r w:rsidR="00E30E11">
              <w:rPr>
                <w:rFonts w:ascii="Sylfaen" w:hAnsi="Sylfaen"/>
                <w:sz w:val="28"/>
              </w:rPr>
              <w:t xml:space="preserve"> </w:t>
            </w:r>
            <w:r>
              <w:rPr>
                <w:rFonts w:ascii="Sylfaen" w:hAnsi="Sylfaen"/>
                <w:sz w:val="28"/>
              </w:rPr>
              <w:t xml:space="preserve">Федотова. 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 xml:space="preserve">Фундаментальный труд посвящен выработки научно обоснованных выводов по целому ряду концептуальных вопросов. </w:t>
            </w:r>
            <w:proofErr w:type="gramStart"/>
            <w:r>
              <w:rPr>
                <w:rFonts w:ascii="Sylfaen" w:hAnsi="Sylfaen"/>
                <w:sz w:val="28"/>
              </w:rPr>
              <w:t>О том, что такое «классика» и «классическое», размышляли многие философы, поэты, историки.</w:t>
            </w:r>
            <w:proofErr w:type="gramEnd"/>
            <w:r>
              <w:rPr>
                <w:rFonts w:ascii="Sylfaen" w:hAnsi="Sylfaen"/>
                <w:sz w:val="28"/>
              </w:rPr>
              <w:t xml:space="preserve"> «Классическое» постоянно оживает в </w:t>
            </w:r>
            <w:proofErr w:type="spellStart"/>
            <w:r>
              <w:rPr>
                <w:rFonts w:ascii="Sylfaen" w:hAnsi="Sylfaen"/>
                <w:sz w:val="28"/>
              </w:rPr>
              <w:t>неостилях</w:t>
            </w:r>
            <w:proofErr w:type="spellEnd"/>
            <w:r>
              <w:rPr>
                <w:rFonts w:ascii="Sylfaen" w:hAnsi="Sylfaen"/>
                <w:sz w:val="28"/>
              </w:rPr>
              <w:t xml:space="preserve">, конечно, трансформируясь, </w:t>
            </w:r>
            <w:proofErr w:type="gramStart"/>
            <w:r>
              <w:rPr>
                <w:rFonts w:ascii="Sylfaen" w:hAnsi="Sylfaen"/>
                <w:sz w:val="28"/>
              </w:rPr>
              <w:t>но</w:t>
            </w:r>
            <w:proofErr w:type="gramEnd"/>
            <w:r>
              <w:rPr>
                <w:rFonts w:ascii="Sylfaen" w:hAnsi="Sylfaen"/>
                <w:sz w:val="28"/>
              </w:rPr>
              <w:t xml:space="preserve"> не утрачивая, а обретая новое звучание, будучи востребованным новым временем. «Классика» не способна отодвигаться в прошлое. Ее знание, возвращение в центр художественных обсуждений, популяризация в массовом сознании, чрезвычайно </w:t>
            </w:r>
            <w:proofErr w:type="gramStart"/>
            <w:r>
              <w:rPr>
                <w:rFonts w:ascii="Sylfaen" w:hAnsi="Sylfaen"/>
                <w:sz w:val="28"/>
              </w:rPr>
              <w:t>важны</w:t>
            </w:r>
            <w:proofErr w:type="gramEnd"/>
            <w:r>
              <w:rPr>
                <w:rFonts w:ascii="Sylfaen" w:hAnsi="Sylfaen"/>
                <w:sz w:val="28"/>
              </w:rPr>
              <w:t xml:space="preserve"> сегодня. В этом авторский коллектив видит цель данного исследования, результаты которого уже сегодня важны как непосредственно для фундаментальной науки, так и для развития программ по художественному образованию.</w:t>
            </w:r>
          </w:p>
          <w:p w:rsidR="00E926AE" w:rsidRDefault="00E926AE">
            <w:pPr>
              <w:spacing w:line="360" w:lineRule="auto"/>
              <w:jc w:val="both"/>
            </w:pPr>
          </w:p>
        </w:tc>
      </w:tr>
      <w:tr w:rsidR="00E926AE" w:rsidTr="009264E1">
        <w:tc>
          <w:tcPr>
            <w:tcW w:w="3625" w:type="dxa"/>
          </w:tcPr>
          <w:p w:rsidR="00E30E11" w:rsidRDefault="00E30E11" w:rsidP="00E30E1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2. Анализ актуальных процессов развития </w:t>
            </w:r>
            <w:proofErr w:type="gramStart"/>
            <w:r>
              <w:rPr>
                <w:b/>
              </w:rPr>
              <w:t>современной</w:t>
            </w:r>
            <w:proofErr w:type="gramEnd"/>
          </w:p>
          <w:p w:rsidR="00E926AE" w:rsidRDefault="00E30E11" w:rsidP="00E30E11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художественной культуры</w:t>
            </w:r>
          </w:p>
        </w:tc>
        <w:tc>
          <w:tcPr>
            <w:tcW w:w="10908" w:type="dxa"/>
          </w:tcPr>
          <w:p w:rsidR="00E926AE" w:rsidRDefault="00F87CAE">
            <w:pPr>
              <w:ind w:firstLine="709"/>
              <w:jc w:val="both"/>
            </w:pPr>
            <w:r>
              <w:t xml:space="preserve">Среди основных важнейших результатов научных исследований, полученных в 2015 году г. необходимо отметить ряд работ, посвященных исследованию искусства Сибири и Дальнего Востока. Отделением Российской академии художеств «Урал, Сибирь и Дальний Восток» были проведены научных мероприятия, результатом которых стало издание сборника научных статей «Искусство Сибири и Дальнего Востока: наследие, современность, перспективы». Исследования целого ряда ученых затрагивают фундаментальные проблемы наук об искусстве: «Вопросы искусствознания», «Искусство Сибири, Дальнего Востока и сопредельных территорий в ХIХ – ХХI веках», «Музейные коллекции, выставки, </w:t>
            </w:r>
            <w:proofErr w:type="gramStart"/>
            <w:r>
              <w:t>художественный</w:t>
            </w:r>
            <w:proofErr w:type="gramEnd"/>
            <w:r>
              <w:t xml:space="preserve"> проекты», «Вопросы профессионального образования в области изобразительного, декоративно-прикладного искусства, дизайна и искусствоведения». Необходимо отметить, что исследовательскую группу составили не только российские, но и зарубежные ученые </w:t>
            </w:r>
            <w:r>
              <w:lastRenderedPageBreak/>
              <w:t xml:space="preserve">(искусствоведы из Монголии и Китая), которые регулярно участвуют в научно-исследовательских и выставочных проектах. </w:t>
            </w:r>
          </w:p>
          <w:p w:rsidR="00E926AE" w:rsidRDefault="00F87CAE">
            <w:pPr>
              <w:ind w:firstLine="709"/>
              <w:jc w:val="both"/>
            </w:pPr>
            <w:proofErr w:type="gramStart"/>
            <w:r>
              <w:t xml:space="preserve">В этой связи важно отметить знаковый в художественной жизни Сибири выставочный проект, который был осуществлен в Красноярске при поддержке Регионального отделения Урала, Сибири и Дальнего Востока Российской академии художеств - межрегиональная выставка «Сибирь - Дальний Восток», которая прошла единым блоком с научно-практической конференцией с международным участием «Искусство Сибири и Дальнего Востока: наследие, современность, перспективы». </w:t>
            </w:r>
            <w:proofErr w:type="gramEnd"/>
          </w:p>
          <w:p w:rsidR="00E926AE" w:rsidRDefault="00F87CAE">
            <w:pPr>
              <w:ind w:firstLine="709"/>
              <w:jc w:val="both"/>
            </w:pPr>
            <w:r>
              <w:t xml:space="preserve">Значимость выставки обусловлена, в частности, ее масштабом. </w:t>
            </w:r>
            <w:proofErr w:type="gramStart"/>
            <w:r>
              <w:t>Б</w:t>
            </w:r>
            <w:r w:rsidR="00E30E11">
              <w:t xml:space="preserve">олее 250 художников </w:t>
            </w:r>
            <w:r>
              <w:t>из Абакана, Анадыря, Барнаула, Благовещенска, Биробиджана, Владивостока, Горно-Алтайска, Дивногорска, Иркутска, Кемерово, Красноярска,</w:t>
            </w:r>
            <w:r w:rsidR="00E30E11">
              <w:t xml:space="preserve"> Комсомольска-на-Амуре, Кызыла,</w:t>
            </w:r>
            <w:r>
              <w:t xml:space="preserve"> Лесозаводска, Магадана, Находки,  Новокузнецка, Новосибирска, Омска, </w:t>
            </w:r>
            <w:proofErr w:type="spellStart"/>
            <w:r>
              <w:t>Певека</w:t>
            </w:r>
            <w:proofErr w:type="spellEnd"/>
            <w:r>
              <w:t>,  Петропавловска-Камчатского, Томска, Улан-Удэ, Уссурийска, Хабаровска, Ханты-Мансийска, Южно-Сахалинска,  Якутска, приняли участие в выставке.</w:t>
            </w:r>
            <w:proofErr w:type="gramEnd"/>
            <w:r>
              <w:t xml:space="preserve"> Специалистам и широкой зрительской аудитории  было представлено более 300 произведений декоративно-прикладного искусства, скульптуры, графики, однако явно преобладала станковая  живопись. К выставке</w:t>
            </w:r>
            <w:r w:rsidR="00E30E11">
              <w:t xml:space="preserve"> был издан масштабный каталог.</w:t>
            </w:r>
          </w:p>
          <w:p w:rsidR="00E926AE" w:rsidRDefault="00E926AE">
            <w:pPr>
              <w:ind w:firstLine="709"/>
              <w:rPr>
                <w:b/>
              </w:rPr>
            </w:pPr>
          </w:p>
        </w:tc>
      </w:tr>
      <w:tr w:rsidR="00E926AE" w:rsidTr="009264E1">
        <w:tc>
          <w:tcPr>
            <w:tcW w:w="3625" w:type="dxa"/>
          </w:tcPr>
          <w:p w:rsidR="00E30E11" w:rsidRDefault="00E30E11" w:rsidP="00E30E11">
            <w:pPr>
              <w:rPr>
                <w:b/>
              </w:rPr>
            </w:pPr>
            <w:r w:rsidRPr="00E30E11">
              <w:rPr>
                <w:b/>
              </w:rPr>
              <w:lastRenderedPageBreak/>
              <w:t>3.</w:t>
            </w:r>
            <w:r>
              <w:t xml:space="preserve"> </w:t>
            </w:r>
            <w:r>
              <w:rPr>
                <w:b/>
              </w:rPr>
              <w:t>Дизайн и технологии: эволюция среды обитания человека</w:t>
            </w:r>
          </w:p>
          <w:p w:rsidR="00E926AE" w:rsidRDefault="00E926AE">
            <w:pPr>
              <w:ind w:firstLine="709"/>
              <w:jc w:val="both"/>
            </w:pPr>
          </w:p>
        </w:tc>
        <w:tc>
          <w:tcPr>
            <w:tcW w:w="10908" w:type="dxa"/>
          </w:tcPr>
          <w:p w:rsidR="00E926AE" w:rsidRDefault="00F87CAE">
            <w:pPr>
              <w:ind w:firstLine="709"/>
              <w:jc w:val="both"/>
            </w:pPr>
            <w:r>
              <w:t>Организация и проведение третей выставки современного дизайна «НОН-СТОП». Проект  ставит своей целью представлять отечественный дизайн, знакомить широкую публику не только с проектами архитекторов и дизайнеров, творческими предметами, модны</w:t>
            </w:r>
            <w:r w:rsidR="00E30E11">
              <w:t>ми изделиями художников, но и с</w:t>
            </w:r>
            <w:r>
              <w:t xml:space="preserve"> их создателями, способствовать поднятию престижа профессии и поиска новых форм взаимодействия и сотрудничества. Проект уже традиционно собирает дизайнеров, художников, архитекторов в едином пространстве, где представлены их новые творческие работы. Подобные мероприятия способствуют созданию новых дизайнерских идей, концепций проектов и</w:t>
            </w:r>
            <w:r w:rsidR="00E30E11">
              <w:t xml:space="preserve"> выявлению путей их реализации.</w:t>
            </w:r>
          </w:p>
          <w:p w:rsidR="00E926AE" w:rsidRDefault="00F87CAE">
            <w:pPr>
              <w:ind w:firstLine="709"/>
              <w:jc w:val="both"/>
            </w:pPr>
            <w:r>
              <w:rPr>
                <w:color w:val="000000"/>
              </w:rPr>
              <w:t>Практическое применение некоторых разработок</w:t>
            </w:r>
            <w:r>
              <w:t xml:space="preserve"> членов Отделения дизайна РАХ </w:t>
            </w:r>
            <w:r>
              <w:lastRenderedPageBreak/>
              <w:t>нашло свое воплощение в  методиках преподавания, в  аспирантуре и докторантуре, многие академики являются педагогами и научными руководителями ведущи</w:t>
            </w:r>
            <w:r w:rsidR="00E30E11">
              <w:t>х вузов страны в сфере дизайна.</w:t>
            </w:r>
          </w:p>
          <w:p w:rsidR="00E926AE" w:rsidRDefault="00E926AE">
            <w:pPr>
              <w:jc w:val="both"/>
              <w:rPr>
                <w:b/>
              </w:rPr>
            </w:pPr>
          </w:p>
        </w:tc>
      </w:tr>
      <w:tr w:rsidR="00E926AE" w:rsidTr="009264E1">
        <w:tc>
          <w:tcPr>
            <w:tcW w:w="3625" w:type="dxa"/>
          </w:tcPr>
          <w:p w:rsidR="00E30E11" w:rsidRDefault="00E30E11" w:rsidP="00E30E1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 Изобразительное искусство в контексте современного гуманитарного образования</w:t>
            </w:r>
          </w:p>
          <w:p w:rsidR="00E926AE" w:rsidRDefault="00E926AE" w:rsidP="00E30E1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908" w:type="dxa"/>
          </w:tcPr>
          <w:p w:rsidR="00E926AE" w:rsidRDefault="00F87CAE">
            <w:pPr>
              <w:pStyle w:val="Style6"/>
              <w:spacing w:line="240" w:lineRule="auto"/>
              <w:ind w:firstLine="709"/>
              <w:jc w:val="both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В качестве важных результатов фундаментальной науки в интеграции с образованием необходимо отметить издание «Психология искусства:</w:t>
            </w:r>
            <w:r>
              <w:rPr>
                <w:rFonts w:ascii="Sylfaen" w:hAnsi="Sylfaen"/>
                <w:b/>
                <w:sz w:val="28"/>
              </w:rPr>
              <w:t xml:space="preserve"> </w:t>
            </w:r>
            <w:r>
              <w:rPr>
                <w:rFonts w:ascii="Sylfaen" w:hAnsi="Sylfaen"/>
                <w:sz w:val="28"/>
              </w:rPr>
              <w:t xml:space="preserve">учебник для </w:t>
            </w:r>
            <w:proofErr w:type="spellStart"/>
            <w:r>
              <w:rPr>
                <w:rFonts w:ascii="Sylfaen" w:hAnsi="Sylfaen"/>
                <w:sz w:val="28"/>
              </w:rPr>
              <w:t>бакалавриата</w:t>
            </w:r>
            <w:proofErr w:type="spellEnd"/>
            <w:r>
              <w:rPr>
                <w:rFonts w:ascii="Sylfaen" w:hAnsi="Sylfaen"/>
                <w:sz w:val="28"/>
              </w:rPr>
              <w:t xml:space="preserve"> и магистратуры». 2-е изд., </w:t>
            </w:r>
            <w:proofErr w:type="spellStart"/>
            <w:r>
              <w:rPr>
                <w:rFonts w:ascii="Sylfaen" w:hAnsi="Sylfaen"/>
                <w:sz w:val="28"/>
              </w:rPr>
              <w:t>перераб</w:t>
            </w:r>
            <w:proofErr w:type="spellEnd"/>
            <w:r>
              <w:rPr>
                <w:rFonts w:ascii="Sylfaen" w:hAnsi="Sylfaen"/>
                <w:sz w:val="28"/>
              </w:rPr>
              <w:t xml:space="preserve">. и доп. М.: </w:t>
            </w:r>
            <w:proofErr w:type="spellStart"/>
            <w:r>
              <w:rPr>
                <w:rFonts w:ascii="Sylfaen" w:hAnsi="Sylfaen"/>
                <w:sz w:val="28"/>
              </w:rPr>
              <w:t>Юрайт</w:t>
            </w:r>
            <w:proofErr w:type="spellEnd"/>
            <w:r>
              <w:rPr>
                <w:rFonts w:ascii="Sylfaen" w:hAnsi="Sylfaen"/>
                <w:sz w:val="28"/>
              </w:rPr>
              <w:t xml:space="preserve">, 2015. 265 с., ил. </w:t>
            </w:r>
            <w:proofErr w:type="gramStart"/>
            <w:r>
              <w:rPr>
                <w:rFonts w:ascii="Sylfaen" w:hAnsi="Sylfaen"/>
                <w:sz w:val="28"/>
              </w:rPr>
              <w:t>(Серия:</w:t>
            </w:r>
            <w:proofErr w:type="gramEnd"/>
            <w:r>
              <w:rPr>
                <w:rFonts w:ascii="Sylfaen" w:hAnsi="Sylfaen"/>
                <w:sz w:val="28"/>
              </w:rPr>
              <w:t xml:space="preserve"> Бакалавр и магистр. </w:t>
            </w:r>
            <w:proofErr w:type="gramStart"/>
            <w:r>
              <w:rPr>
                <w:rFonts w:ascii="Sylfaen" w:hAnsi="Sylfaen"/>
                <w:sz w:val="28"/>
              </w:rPr>
              <w:t>Академический курс).</w:t>
            </w:r>
            <w:proofErr w:type="gramEnd"/>
            <w:r>
              <w:rPr>
                <w:rFonts w:ascii="Sylfaen" w:hAnsi="Sylfaen"/>
                <w:sz w:val="28"/>
              </w:rPr>
              <w:t xml:space="preserve"> Труд подготовлен действительным членом Российской академии художеств, руководителем отдела теории изобразительных искусств НИИ РАХ О.А.</w:t>
            </w:r>
            <w:r w:rsidR="00E30E11"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Кривцуном</w:t>
            </w:r>
            <w:proofErr w:type="spellEnd"/>
            <w:r>
              <w:rPr>
                <w:rFonts w:ascii="Sylfaen" w:hAnsi="Sylfaen"/>
                <w:sz w:val="28"/>
              </w:rPr>
              <w:t>.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 xml:space="preserve">Учебник освещает классические проблемы психологии искусства (психология художественного творчества, закономерности восприятия произведений искусства, психологические аспекты строения произведения искусства), а также новые, еще только зарождающиеся на стыке искусствознания, психологии, антропологии, культурологии. Специальное внимание уделено малоизученным парадоксам творческого сознания художника: феномену «плавающей идентификации», способности одновременного сосуществования в разных ролевых ипостасях, взаимодействию спонтанности и самодисциплины в акте творчества. На большом материале истории искусства выявляется значение воображения, Соответствует актуальным требованиям Федерального государственного образовательного стандарта высшего образования и </w:t>
            </w:r>
            <w:proofErr w:type="gramStart"/>
            <w:r>
              <w:rPr>
                <w:rFonts w:ascii="Sylfaen" w:hAnsi="Sylfaen"/>
                <w:sz w:val="28"/>
              </w:rPr>
              <w:t>рекомендован</w:t>
            </w:r>
            <w:proofErr w:type="gramEnd"/>
            <w:r>
              <w:rPr>
                <w:rFonts w:ascii="Sylfaen" w:hAnsi="Sylfaen"/>
                <w:sz w:val="28"/>
              </w:rPr>
              <w:t xml:space="preserve"> для студентов высших учебных заведений, обучающихся по гуманитарным направлениям и специальностям по квалификации «</w:t>
            </w:r>
            <w:proofErr w:type="spellStart"/>
            <w:r>
              <w:rPr>
                <w:rFonts w:ascii="Sylfaen" w:hAnsi="Sylfaen"/>
                <w:sz w:val="28"/>
              </w:rPr>
              <w:t>бакалавриат</w:t>
            </w:r>
            <w:proofErr w:type="spellEnd"/>
            <w:r>
              <w:rPr>
                <w:rFonts w:ascii="Sylfaen" w:hAnsi="Sylfaen"/>
                <w:sz w:val="28"/>
              </w:rPr>
              <w:t xml:space="preserve">» и «магистратура». 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Цикл учебных пособий для вузов «Теория и история искусствознания», подготовлен сотрудником отдела теории искусств НИИ РАХ, доктором искусствоведения Арсланов В.Г. 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Том 1: Античность. Средние века. Возрождение: Учебное пособие для вузов. М.: </w:t>
            </w:r>
            <w:r>
              <w:rPr>
                <w:sz w:val="28"/>
              </w:rPr>
              <w:lastRenderedPageBreak/>
              <w:t xml:space="preserve">Академический проект; Культура, 2015. 436 с. 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Том 2: Просвещение. Ф. Шеллинг и Г. Гегель: Учебное пособие для вузов. М.: Академический проект, 2015. 435 с., ил.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Том 3: XX век. Формальная школа: Учебное пособие для вузов. М.: Академический проект, 2015. 344 с.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Том 4: XX век. Духовно-исторический метод. Социология искусства. </w:t>
            </w:r>
            <w:proofErr w:type="spellStart"/>
            <w:r>
              <w:rPr>
                <w:sz w:val="28"/>
              </w:rPr>
              <w:t>Иконология</w:t>
            </w:r>
            <w:proofErr w:type="spellEnd"/>
            <w:r>
              <w:rPr>
                <w:sz w:val="28"/>
              </w:rPr>
              <w:t>: Учебное пособие для вузов. М.: Академический проект, 2015. 275 с., ил.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Том 5: XX век. Постмодернизм: Учебное пособие для вузов. М.: Академический проект, 2015. 287 с., ил. (Концепции).</w:t>
            </w:r>
          </w:p>
          <w:p w:rsidR="00E926AE" w:rsidRDefault="00F87CAE">
            <w:pPr>
              <w:pStyle w:val="Style5"/>
              <w:spacing w:line="240" w:lineRule="auto"/>
              <w:ind w:firstLine="709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Пятитомное учебное пособие посвящено комплексному изложению наиболее значительных достижений мирового искусствознания от древности до наших дней. Автор исследует историю и теорию европейского искусствознания на основе методологии российского философско-эстетического «течения» 1930-х годов, видевшего свою цель в возрождении наследия мировой классической культуры. Материал излагается таким образом, чтобы издание могло послужить одним из учебных пособий для аспирантов, изучающих философию и историю науки по специальности «Искусствознание», и для студентов, слушающих курс лекций «Теория и история искусствознания».</w:t>
            </w:r>
          </w:p>
          <w:p w:rsidR="00E30E11" w:rsidRDefault="00E30E11">
            <w:pPr>
              <w:pStyle w:val="Style5"/>
              <w:spacing w:line="240" w:lineRule="auto"/>
              <w:ind w:firstLine="709"/>
              <w:rPr>
                <w:rFonts w:ascii="Sylfaen" w:hAnsi="Sylfaen"/>
                <w:sz w:val="28"/>
              </w:rPr>
            </w:pPr>
          </w:p>
        </w:tc>
      </w:tr>
      <w:tr w:rsidR="00E926AE" w:rsidTr="009264E1">
        <w:tc>
          <w:tcPr>
            <w:tcW w:w="3625" w:type="dxa"/>
          </w:tcPr>
          <w:p w:rsidR="00E30E11" w:rsidRDefault="00E30E11" w:rsidP="00E30E1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 Интеграция научного и творческого знания в процессе сохранения культурного и духовного наследия</w:t>
            </w:r>
          </w:p>
          <w:p w:rsidR="00E926AE" w:rsidRDefault="00E926AE" w:rsidP="00E30E11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10908" w:type="dxa"/>
          </w:tcPr>
          <w:p w:rsidR="00E926AE" w:rsidRDefault="00F87CAE">
            <w:pPr>
              <w:ind w:firstLine="709"/>
              <w:jc w:val="both"/>
            </w:pPr>
            <w:r>
              <w:t>Разработка новых методик технологического исследования произведений искусства и их внедрения  в практику  научно-исследовательской лаборатории ММС</w:t>
            </w:r>
            <w:proofErr w:type="gramStart"/>
            <w:r>
              <w:t>И(</w:t>
            </w:r>
            <w:proofErr w:type="gramEnd"/>
            <w:r>
              <w:t>совместная работа экспертов Российской академии художеств и Московского музея современного искусства на основе соглашения о научно-исследовательском  и образовательном сотрудничестве).</w:t>
            </w:r>
          </w:p>
          <w:p w:rsidR="00E926AE" w:rsidRDefault="00F87CAE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Разработаны методики исследования образцов НИЛ ММСИ на микроскопе  </w:t>
            </w:r>
            <w:proofErr w:type="spellStart"/>
            <w:r>
              <w:rPr>
                <w:color w:val="000000"/>
              </w:rPr>
              <w:t>Leica</w:t>
            </w:r>
            <w:proofErr w:type="spellEnd"/>
            <w:r>
              <w:rPr>
                <w:color w:val="000000"/>
              </w:rPr>
              <w:t xml:space="preserve"> DM 2700P.(Данные методики используются при исследовании образцов живописного материала, образцов скульптур и т.д.)</w:t>
            </w:r>
          </w:p>
          <w:p w:rsidR="00E926AE" w:rsidRDefault="00F87CAE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Освоена и внедрена в лабораторную практику программа </w:t>
            </w:r>
            <w:proofErr w:type="spellStart"/>
            <w:r>
              <w:rPr>
                <w:color w:val="000000"/>
              </w:rPr>
              <w:t>Image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ScopeS</w:t>
            </w:r>
            <w:proofErr w:type="spellEnd"/>
          </w:p>
          <w:p w:rsidR="00E926AE" w:rsidRDefault="00F87CAE">
            <w:pPr>
              <w:ind w:firstLine="709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  <w:r w:rsidR="00E30E11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Разработаны новые ме</w:t>
            </w:r>
            <w:r w:rsidR="00E30E11">
              <w:rPr>
                <w:color w:val="000000"/>
              </w:rPr>
              <w:t xml:space="preserve">тодики исследования материалов </w:t>
            </w:r>
            <w:r>
              <w:rPr>
                <w:color w:val="000000"/>
              </w:rPr>
              <w:t xml:space="preserve">(бронза, латунь, полимеры, наполнители) для  монументальной скульптуры (по данным методикам проведены исследования скульптур и выданы отчеты: памятник Мухиной, горельеф Вучетича, скульптурные композиции «Хлеб», 1963 г., </w:t>
            </w:r>
            <w:proofErr w:type="spellStart"/>
            <w:r>
              <w:rPr>
                <w:color w:val="000000"/>
              </w:rPr>
              <w:t>ск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В.И.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Мухина, Н.Г.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Зеленская, А.М.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Сергеев, архитектор И.Е.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Рожин, "Плодородие", 1963 г., </w:t>
            </w:r>
            <w:proofErr w:type="spellStart"/>
            <w:r>
              <w:rPr>
                <w:color w:val="000000"/>
              </w:rPr>
              <w:t>ск</w:t>
            </w:r>
            <w:proofErr w:type="spellEnd"/>
            <w:r>
              <w:rPr>
                <w:color w:val="000000"/>
              </w:rPr>
              <w:t>. В.И.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Мухина, Н.Г.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Зеленская, А.М.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Сергеев, архитектор И.Е.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Рожин,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Памятник Сервантесу М., 1981 г., </w:t>
            </w:r>
            <w:proofErr w:type="spellStart"/>
            <w:r>
              <w:rPr>
                <w:color w:val="000000"/>
              </w:rPr>
              <w:t>ск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Сола</w:t>
            </w:r>
            <w:proofErr w:type="spellEnd"/>
            <w:r>
              <w:rPr>
                <w:color w:val="000000"/>
              </w:rPr>
              <w:t xml:space="preserve"> А.,  </w:t>
            </w:r>
            <w:proofErr w:type="spellStart"/>
            <w:r>
              <w:rPr>
                <w:color w:val="000000"/>
              </w:rPr>
              <w:t>арх-ры</w:t>
            </w:r>
            <w:proofErr w:type="spellEnd"/>
            <w:r>
              <w:rPr>
                <w:color w:val="000000"/>
              </w:rPr>
              <w:t xml:space="preserve"> И.Н.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Воскресенский, Ю.В.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Калмыков,</w:t>
            </w:r>
            <w:r w:rsidR="00E30E11" w:rsidRPr="00E30E11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Памятник Курчатову И.В., 1971 г., </w:t>
            </w:r>
            <w:proofErr w:type="spellStart"/>
            <w:r>
              <w:rPr>
                <w:color w:val="000000"/>
              </w:rPr>
              <w:t>ск</w:t>
            </w:r>
            <w:proofErr w:type="spellEnd"/>
            <w:r>
              <w:rPr>
                <w:color w:val="000000"/>
              </w:rPr>
              <w:t>. И.М.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Рукавишников, арх. М.И.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Богданов, М.Н.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Круглов, бронза, гранит, памятник Пушкину.</w:t>
            </w:r>
          </w:p>
          <w:p w:rsidR="00E926AE" w:rsidRDefault="00F87CAE">
            <w:pPr>
              <w:ind w:firstLine="709"/>
              <w:jc w:val="both"/>
            </w:pPr>
            <w:r>
              <w:rPr>
                <w:color w:val="000000"/>
              </w:rPr>
              <w:t>Разработаны и внедрены в практику работы лаборатории методики</w:t>
            </w:r>
            <w:r>
              <w:t xml:space="preserve"> исследования археологических материалов (в настоящее время готовится публикация на тему "Возможность применения естественнонаучных подходов к археологическим материалам")</w:t>
            </w:r>
            <w:r w:rsidR="00E30E11">
              <w:t>.</w:t>
            </w:r>
          </w:p>
          <w:p w:rsidR="00E30E11" w:rsidRDefault="00E30E11">
            <w:pPr>
              <w:ind w:firstLine="709"/>
              <w:jc w:val="both"/>
              <w:rPr>
                <w:b/>
                <w:color w:val="000000"/>
              </w:rPr>
            </w:pPr>
          </w:p>
        </w:tc>
      </w:tr>
      <w:tr w:rsidR="00E926AE" w:rsidTr="009264E1">
        <w:tc>
          <w:tcPr>
            <w:tcW w:w="3625" w:type="dxa"/>
          </w:tcPr>
          <w:p w:rsidR="00E30E11" w:rsidRDefault="00E30E11" w:rsidP="00E30E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 Искусство и наука в современном мире</w:t>
            </w:r>
          </w:p>
          <w:p w:rsidR="00E926AE" w:rsidRDefault="00E926AE">
            <w:pPr>
              <w:ind w:firstLine="709"/>
              <w:rPr>
                <w:b/>
                <w:color w:val="000000"/>
              </w:rPr>
            </w:pPr>
          </w:p>
        </w:tc>
        <w:tc>
          <w:tcPr>
            <w:tcW w:w="10908" w:type="dxa"/>
          </w:tcPr>
          <w:p w:rsidR="00E926AE" w:rsidRDefault="00F87CAE">
            <w:pPr>
              <w:pStyle w:val="Style5"/>
              <w:spacing w:line="240" w:lineRule="auto"/>
              <w:ind w:firstLine="709"/>
              <w:rPr>
                <w:sz w:val="28"/>
              </w:rPr>
            </w:pPr>
            <w:r>
              <w:rPr>
                <w:color w:val="000000"/>
                <w:sz w:val="28"/>
              </w:rPr>
              <w:t>Концепция направления «Искусство и наука в современном мире» основывается на необходимости развития целого ряда междисциплинарных исследований как фундаментального, так и прикладного характера.</w:t>
            </w:r>
          </w:p>
          <w:p w:rsidR="00E926AE" w:rsidRDefault="00F87CAE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 этой связи необходимо отметить выпуск сборника научных статей</w:t>
            </w:r>
            <w:r>
              <w:rPr>
                <w:b/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«Искусство и право: тенденции развития и формы интеграции»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>2015 год, Изд-во «Филигрань», Ярославль, стр. ил.</w:t>
            </w:r>
            <w:proofErr w:type="gramEnd"/>
            <w:r>
              <w:rPr>
                <w:color w:val="000000"/>
              </w:rPr>
              <w:t xml:space="preserve"> Разработчик программы – структурное подразделение Российской академии художеств,  Международная кафедра ЮНЕСКО изобразительного искусства и архитектуры при РАХ, юридическое управление РАХ, при финансовой поддержке Российской Академии Правосудия  (составители действительный член РАХ Т.А.</w:t>
            </w:r>
            <w:r w:rsidR="00E30E1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Кочемасова</w:t>
            </w:r>
            <w:proofErr w:type="spellEnd"/>
            <w:r>
              <w:rPr>
                <w:color w:val="000000"/>
              </w:rPr>
              <w:t>, действительный член РАХ Н.Н.</w:t>
            </w:r>
            <w:r w:rsidR="00E30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Мухина,  начальник юридического управления РАХ А.Н. Лужина).</w:t>
            </w:r>
          </w:p>
          <w:p w:rsidR="00E926AE" w:rsidRDefault="00F87CAE">
            <w:pPr>
              <w:jc w:val="both"/>
            </w:pPr>
            <w:r>
              <w:tab/>
              <w:t xml:space="preserve">Проект является частью научно-исследовательской и образовательной программы Российской академии художеств, который планируется развивать при участии специалистов в области юриспруденции. Среди основных целей и задач настоящего сборника – инициирование междисциплинарной </w:t>
            </w:r>
            <w:proofErr w:type="gramStart"/>
            <w:r>
              <w:t xml:space="preserve">программы исследования проблем </w:t>
            </w:r>
            <w:r>
              <w:lastRenderedPageBreak/>
              <w:t>правового регулирования современного изобразительного искусства</w:t>
            </w:r>
            <w:proofErr w:type="gramEnd"/>
            <w:r>
              <w:t xml:space="preserve">. Материалы первого сборника научных статей исследуют широчайший спектр тематических направлений, связанных с взаимовлиянием и взаимопроникновением права и искусства. Среди них, искусство как вид познания правовых явлений и право, как регулятор отношений в сфере искусства; проблемы формирования критериев, отнесения результатов творческой деятельности к произведениям искусства, с позиции различных отраслей знаний. Также, произведение искусства как объект права; произведение изобразительного искусства как предмет правового регулирования; творческое самовыражение личности и социальный </w:t>
            </w:r>
            <w:proofErr w:type="spellStart"/>
            <w:r>
              <w:t>активизм</w:t>
            </w:r>
            <w:proofErr w:type="spellEnd"/>
            <w:r>
              <w:t>;  защита культурных ценностей во время вооруженных конфликтов; актуальные вопросы правовой охраны результатов интеллектуальной деятельности художников; возможности использования потенциала эмоционального воздействия искусства на чувственное восприятие правовых явлений; выражение публичного протеста изобразительными средствами.</w:t>
            </w:r>
          </w:p>
          <w:p w:rsidR="00E926AE" w:rsidRDefault="00E926AE">
            <w:pPr>
              <w:ind w:firstLine="709"/>
              <w:jc w:val="both"/>
              <w:rPr>
                <w:b/>
                <w:color w:val="000000"/>
              </w:rPr>
            </w:pPr>
          </w:p>
        </w:tc>
      </w:tr>
      <w:tr w:rsidR="00E926AE" w:rsidTr="009264E1">
        <w:tc>
          <w:tcPr>
            <w:tcW w:w="3625" w:type="dxa"/>
          </w:tcPr>
          <w:p w:rsidR="00E30E11" w:rsidRDefault="00E30E11" w:rsidP="00E30E11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7. </w:t>
            </w:r>
            <w:r>
              <w:rPr>
                <w:b/>
                <w:color w:val="000000"/>
              </w:rPr>
              <w:t>Искусство, наука, религия: пути познания и формы интеграции в пространстве культуры</w:t>
            </w:r>
          </w:p>
          <w:p w:rsidR="00E926AE" w:rsidRPr="00E30E11" w:rsidRDefault="00E926AE">
            <w:pPr>
              <w:ind w:firstLine="709"/>
              <w:rPr>
                <w:b/>
              </w:rPr>
            </w:pPr>
          </w:p>
        </w:tc>
        <w:tc>
          <w:tcPr>
            <w:tcW w:w="10908" w:type="dxa"/>
          </w:tcPr>
          <w:p w:rsidR="00E926AE" w:rsidRDefault="00F87CAE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рамках </w:t>
            </w:r>
            <w:r w:rsidRPr="00E30E11">
              <w:rPr>
                <w:color w:val="000000"/>
              </w:rPr>
              <w:t>направления «Искусство, наука, религия» ежегодно</w:t>
            </w:r>
            <w:r>
              <w:rPr>
                <w:color w:val="000000"/>
              </w:rPr>
              <w:t xml:space="preserve"> осуществляется масштабная научная и творческая деятельность, направленная как на возрождение уникальных художественных систем и техник изобразительного искусства Древней Руси, так и на развитие современного академического искусства в лоне духовной традиции.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  <w:r>
              <w:t>В</w:t>
            </w:r>
            <w:r>
              <w:rPr>
                <w:b/>
              </w:rPr>
              <w:t xml:space="preserve"> </w:t>
            </w:r>
            <w:r>
              <w:t>2015 году Российской академией художеств был реализован научно-исследовательский и выставочный проект на территории национального заповедника «Херсонес Таврический» в Республике Крым. Проект «ВИЗАНТИЯ.RU» посвящен знаменательной дате, 1000-летию памяти Святого Равноапостольного князя Владимира и вошел в официальную программу государственных памятных мероприятий. Проект «ВИЗАНТИЯ.RU» составил масштабную выставку, научно-практическую конференцию, мастер-классы.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t>В проекте  приняли участие около 200</w:t>
            </w:r>
            <w:r>
              <w:rPr>
                <w:b/>
              </w:rPr>
              <w:t xml:space="preserve"> </w:t>
            </w:r>
            <w:r>
              <w:t xml:space="preserve">художников и 50 учёных из разных стран. Концептуальная часть программы имеет целью консолидировать творческие силы, зарубежных и отечественных ученых и художников, которые в своем искусстве сохраняют великие традиции, принятые от Византии, создавая особое пространство современного искусства, которое будет говорить с </w:t>
            </w:r>
            <w:r>
              <w:lastRenderedPageBreak/>
              <w:t>современным человеком, и не только православным, на современном языке. Фактически, в основе замысла выставки лежит новое понимание византийского иконного образа.</w:t>
            </w:r>
          </w:p>
          <w:p w:rsidR="00E926AE" w:rsidRDefault="00F87CAE">
            <w:pPr>
              <w:ind w:firstLine="709"/>
              <w:jc w:val="both"/>
              <w:rPr>
                <w:color w:val="000000"/>
              </w:rPr>
            </w:pPr>
            <w:r>
              <w:t xml:space="preserve">Кураторы проекта – действительные члены РАХ Н.А. Мухин (отделение живописи РАХ) и А.М. </w:t>
            </w:r>
            <w:proofErr w:type="spellStart"/>
            <w:r>
              <w:t>Лидов</w:t>
            </w:r>
            <w:proofErr w:type="spellEnd"/>
            <w:r>
              <w:t xml:space="preserve"> (отделение искусствознания РАХ). Открытие одноименного сайта позволяет сделать программу «ВИЗАНТИЯ.RU» долгосрочной, тем самым создав научно-творческий портал с образовательно-просветительскими функциями, который посвящен современному религиозному искусству, а также поиску современными творцами духовных смыслов в реальности сегодняшнего дня.</w:t>
            </w:r>
            <w:r>
              <w:rPr>
                <w:rFonts w:ascii="Arial" w:hAnsi="Arial"/>
                <w:sz w:val="32"/>
              </w:rPr>
              <w:t xml:space="preserve"> </w:t>
            </w:r>
          </w:p>
          <w:p w:rsidR="00E926AE" w:rsidRDefault="00E926AE">
            <w:pPr>
              <w:rPr>
                <w:b/>
                <w:i/>
                <w:color w:val="000000"/>
              </w:rPr>
            </w:pPr>
          </w:p>
        </w:tc>
      </w:tr>
      <w:tr w:rsidR="00E926AE" w:rsidTr="009264E1">
        <w:tc>
          <w:tcPr>
            <w:tcW w:w="3625" w:type="dxa"/>
          </w:tcPr>
          <w:p w:rsidR="00E30E11" w:rsidRDefault="00E30E11" w:rsidP="00E30E1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8. Особенности развития техник и технологий в изобразительном искусстве, архитектуре, дизайне: история и современность</w:t>
            </w:r>
          </w:p>
          <w:p w:rsidR="00E926AE" w:rsidRDefault="00E926AE" w:rsidP="00E30E11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10908" w:type="dxa"/>
          </w:tcPr>
          <w:p w:rsidR="00E926AE" w:rsidRDefault="00F87CAE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Академия тесно сотрудничает в этом направлении с российскими музеями и реставрационными научно-исследовательскими центрами. </w:t>
            </w:r>
            <w:proofErr w:type="gramStart"/>
            <w:r>
              <w:t>Здесь необходимо отметить и совместную работу научных и образовательных учреждений РАХ по программе, в</w:t>
            </w:r>
            <w:r w:rsidR="00E30E11">
              <w:rPr>
                <w:color w:val="000000"/>
              </w:rPr>
              <w:t xml:space="preserve"> частности </w:t>
            </w:r>
            <w:r>
              <w:rPr>
                <w:color w:val="000000"/>
              </w:rPr>
              <w:t xml:space="preserve">разработан проект воссоздания классической образовательной, научно-практической программы в системе исполнительских искусств: создания (изготовления) произведений всех видов изобразительно искусства (изучение и возрождение утраченных технологий литья, химический лабораторных анализ всех видов используемых материалов: бронза, стекло, эмали, минеральные материалы, изучение и внедрения новых материалов с использованием </w:t>
            </w:r>
            <w:proofErr w:type="spellStart"/>
            <w:r>
              <w:rPr>
                <w:color w:val="000000"/>
              </w:rPr>
              <w:t>нанотехнологий</w:t>
            </w:r>
            <w:proofErr w:type="spellEnd"/>
            <w:r>
              <w:rPr>
                <w:color w:val="000000"/>
              </w:rPr>
              <w:t xml:space="preserve"> (композитные</w:t>
            </w:r>
            <w:proofErr w:type="gramEnd"/>
            <w:r>
              <w:rPr>
                <w:color w:val="000000"/>
              </w:rPr>
              <w:t xml:space="preserve"> материалы и др.) в архитектуры, </w:t>
            </w:r>
            <w:proofErr w:type="gramStart"/>
            <w:r>
              <w:rPr>
                <w:color w:val="000000"/>
              </w:rPr>
              <w:t>дизайне</w:t>
            </w:r>
            <w:proofErr w:type="gramEnd"/>
            <w:r>
              <w:rPr>
                <w:color w:val="000000"/>
              </w:rPr>
              <w:t>, монументальном искусстве, продолжается разработка новых, устойчивых к внешним факторам долговечных материалов для создания произведен</w:t>
            </w:r>
            <w:r w:rsidR="00E30E11">
              <w:rPr>
                <w:color w:val="000000"/>
              </w:rPr>
              <w:t xml:space="preserve">ий изобразительного искусства. </w:t>
            </w:r>
            <w:r>
              <w:rPr>
                <w:color w:val="000000"/>
              </w:rPr>
              <w:t>Также в течение указанного периода в целях оптимизации деятельности и формирования стандартов на стоимости материала, проведенных работ при выполнении государственного заказа была возобновлена работа Экспертно-консультативного совета при Президиуме РАХ с учетом новых требований к расширению экспертной деятельности Российской академии художеств.</w:t>
            </w:r>
          </w:p>
          <w:p w:rsidR="00E926AE" w:rsidRDefault="00E926AE">
            <w:pPr>
              <w:ind w:firstLine="709"/>
              <w:rPr>
                <w:b/>
                <w:color w:val="000000"/>
              </w:rPr>
            </w:pPr>
          </w:p>
        </w:tc>
      </w:tr>
      <w:tr w:rsidR="00E926AE" w:rsidTr="009264E1">
        <w:tc>
          <w:tcPr>
            <w:tcW w:w="3625" w:type="dxa"/>
          </w:tcPr>
          <w:p w:rsidR="00F87CAE" w:rsidRDefault="00F87CAE" w:rsidP="00F87CAE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9. Гуманистические </w:t>
            </w:r>
            <w:r>
              <w:rPr>
                <w:b/>
              </w:rPr>
              <w:lastRenderedPageBreak/>
              <w:t>основы и социальные функции искусства</w:t>
            </w:r>
          </w:p>
          <w:p w:rsidR="00E926AE" w:rsidRDefault="00E926AE">
            <w:pPr>
              <w:ind w:firstLine="709"/>
              <w:jc w:val="both"/>
            </w:pPr>
          </w:p>
        </w:tc>
        <w:tc>
          <w:tcPr>
            <w:tcW w:w="10908" w:type="dxa"/>
          </w:tcPr>
          <w:p w:rsidR="00E926AE" w:rsidRDefault="00F87CAE">
            <w:pPr>
              <w:ind w:firstLine="709"/>
              <w:jc w:val="both"/>
            </w:pPr>
            <w:r>
              <w:lastRenderedPageBreak/>
              <w:t xml:space="preserve">В рамках программы фундаментальных исследований Российской академии </w:t>
            </w:r>
            <w:r>
              <w:lastRenderedPageBreak/>
              <w:t xml:space="preserve">художеств, при участии Международной кафедры ЮНЕСКО изобразительного искусства и архитектуры был организован и проведен Международный форум «Мировая культура как ресурс устойчивого развития». Данное мероприятие было включено в официальную программу празднования 70-летия основания ЮНЕСКО, юбилея, который широко отмечался в 2015 году. В церемонии открытия приняли участие Заместитель Председателя Правительства РФ О.Ю. </w:t>
            </w:r>
            <w:proofErr w:type="spellStart"/>
            <w:r>
              <w:t>Голодец</w:t>
            </w:r>
            <w:proofErr w:type="spellEnd"/>
            <w:r>
              <w:t xml:space="preserve"> и Генеральный директор ЮНЕСКО И. Бокова. Среди участников и почетных гостей форума, деятели науки и </w:t>
            </w:r>
            <w:bookmarkStart w:id="0" w:name="_GoBack"/>
            <w:bookmarkEnd w:id="0"/>
            <w:r>
              <w:t xml:space="preserve">культуры разных регионов России от Северного Кавказа до Дальнего Востока, зарубежные гости из Италии, Германии, Польши, Украины, Азербайджана, Армении, Турции, Египта, Китая, США. </w:t>
            </w:r>
            <w:r>
              <w:rPr>
                <w:color w:val="000000"/>
              </w:rPr>
              <w:t xml:space="preserve">Наряду с известными специалистами в работе форума приняли участие молодые ученые, художники, педагоги. </w:t>
            </w:r>
          </w:p>
          <w:p w:rsidR="00E926AE" w:rsidRDefault="00F87CAE">
            <w:pPr>
              <w:ind w:firstLine="709"/>
              <w:jc w:val="both"/>
            </w:pPr>
            <w:r>
              <w:t>Проект</w:t>
            </w:r>
            <w:r>
              <w:rPr>
                <w:b/>
              </w:rPr>
              <w:t xml:space="preserve"> </w:t>
            </w:r>
            <w:r>
              <w:t xml:space="preserve">является частью научно-образовательной программы Российской академии  художеств. Среди основных целей и задач форума важно отметить  содействие укреплению принципов взаимоуважения и взаимопонимания между народами, представителями разных культур, религиозных конфессий, систематизация существующих знаний о культурных традициях народов мира, исследование многонационального культурного пространства России, активизация процессов развития научных и образовательных контактов между научно-исследовательскими, образовательными и музейно-выставочными учреждениями. </w:t>
            </w:r>
          </w:p>
          <w:p w:rsidR="00E926AE" w:rsidRDefault="00F87CAE">
            <w:pPr>
              <w:ind w:firstLine="709"/>
              <w:jc w:val="both"/>
              <w:rPr>
                <w:b/>
              </w:rPr>
            </w:pPr>
            <w:r>
              <w:t>Программу форума составили - масштабная научно-практическая конференция, мультимедийные презентации, круглый стол</w:t>
            </w:r>
            <w:r>
              <w:rPr>
                <w:b/>
              </w:rPr>
              <w:t xml:space="preserve"> </w:t>
            </w:r>
            <w:r>
              <w:t>«Военные преступления против искусства: история с продолжением». По материалам форума готовится научная монография.</w:t>
            </w:r>
          </w:p>
          <w:p w:rsidR="00E926AE" w:rsidRDefault="00E926AE">
            <w:pPr>
              <w:ind w:firstLine="709"/>
              <w:jc w:val="both"/>
            </w:pPr>
          </w:p>
        </w:tc>
      </w:tr>
    </w:tbl>
    <w:p w:rsidR="00E926AE" w:rsidRDefault="00E926AE" w:rsidP="00F87CAE">
      <w:pPr>
        <w:spacing w:line="360" w:lineRule="auto"/>
        <w:ind w:firstLine="709"/>
        <w:jc w:val="center"/>
      </w:pPr>
    </w:p>
    <w:sectPr w:rsidR="00E926AE" w:rsidSect="009264E1">
      <w:pgSz w:w="16838" w:h="11905" w:orient="landscape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5F4"/>
    <w:multiLevelType w:val="multilevel"/>
    <w:tmpl w:val="311433EC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4C9B0A2B"/>
    <w:multiLevelType w:val="hybridMultilevel"/>
    <w:tmpl w:val="8A009116"/>
    <w:lvl w:ilvl="0" w:tplc="6154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26AE"/>
    <w:rsid w:val="002E1E59"/>
    <w:rsid w:val="009264E1"/>
    <w:rsid w:val="00E30E11"/>
    <w:rsid w:val="00E926AE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Pr>
      <w:rFonts w:ascii="Times New Roman" w:hAnsi="Times New Roman"/>
      <w:sz w:val="24"/>
    </w:rPr>
  </w:style>
  <w:style w:type="paragraph" w:customStyle="1" w:styleId="Style3">
    <w:name w:val="Style3"/>
    <w:pPr>
      <w:spacing w:line="371" w:lineRule="exact"/>
      <w:ind w:firstLine="727"/>
      <w:jc w:val="both"/>
    </w:pPr>
    <w:rPr>
      <w:rFonts w:ascii="Times New Roman" w:hAnsi="Times New Roman"/>
      <w:sz w:val="24"/>
    </w:rPr>
  </w:style>
  <w:style w:type="paragraph" w:customStyle="1" w:styleId="Style5">
    <w:name w:val="Style5"/>
    <w:pPr>
      <w:spacing w:line="202" w:lineRule="exact"/>
      <w:ind w:firstLine="281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pPr>
      <w:spacing w:line="202" w:lineRule="exact"/>
      <w:jc w:val="right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30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Pr>
      <w:rFonts w:ascii="Times New Roman" w:hAnsi="Times New Roman"/>
      <w:sz w:val="24"/>
    </w:rPr>
  </w:style>
  <w:style w:type="paragraph" w:customStyle="1" w:styleId="Style3">
    <w:name w:val="Style3"/>
    <w:pPr>
      <w:spacing w:line="371" w:lineRule="exact"/>
      <w:ind w:firstLine="727"/>
      <w:jc w:val="both"/>
    </w:pPr>
    <w:rPr>
      <w:rFonts w:ascii="Times New Roman" w:hAnsi="Times New Roman"/>
      <w:sz w:val="24"/>
    </w:rPr>
  </w:style>
  <w:style w:type="paragraph" w:customStyle="1" w:styleId="Style5">
    <w:name w:val="Style5"/>
    <w:pPr>
      <w:spacing w:line="202" w:lineRule="exact"/>
      <w:ind w:firstLine="281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pPr>
      <w:spacing w:line="202" w:lineRule="exact"/>
      <w:jc w:val="right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30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Ф15 таблица  (копия 1).docx</vt:lpstr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Ф15 таблица  (копия 1).docx</dc:title>
  <dc:creator>Коротаева Александра Николаевна</dc:creator>
  <cp:lastModifiedBy>Коротаева Александра Николаевна</cp:lastModifiedBy>
  <cp:revision>4</cp:revision>
  <cp:lastPrinted>2016-03-23T08:48:00Z</cp:lastPrinted>
  <dcterms:created xsi:type="dcterms:W3CDTF">2016-03-17T07:42:00Z</dcterms:created>
  <dcterms:modified xsi:type="dcterms:W3CDTF">2016-03-23T08:48:00Z</dcterms:modified>
</cp:coreProperties>
</file>